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112</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413072</w:t>
      </w:r>
      <w:bookmarkStart w:id="0" w:name="_GoBack"/>
      <w:bookmarkEnd w:id="0"/>
    </w:p>
    <w:p>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core maintenance of SCell activation delay reduction</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5.14.1</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2"/>
        <w:tabs>
          <w:tab w:val="left" w:pos="226"/>
          <w:tab w:val="left" w:pos="284"/>
          <w:tab w:val="left" w:pos="5103"/>
        </w:tabs>
        <w:snapToGrid w:val="0"/>
        <w:rPr>
          <w:rFonts w:hint="default" w:eastAsia="宋体"/>
          <w:bCs/>
          <w:color w:val="auto"/>
          <w:sz w:val="20"/>
          <w:szCs w:val="20"/>
          <w:lang w:val="en-US" w:eastAsia="zh-CN"/>
        </w:rPr>
      </w:pPr>
      <w:r>
        <w:rPr>
          <w:rFonts w:hint="eastAsia" w:eastAsia="宋体"/>
          <w:bCs/>
          <w:color w:val="auto"/>
          <w:sz w:val="20"/>
          <w:szCs w:val="20"/>
          <w:lang w:val="en-US" w:eastAsia="zh-CN"/>
        </w:rPr>
        <w:t>The core part has been basically finished and good progress were achieved. Still some small maintenance issues with respect to the core part were proposed during last meeting. In this paper, we provide our views on the remaining issues of core part.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widowControl w:val="0"/>
        <w:numPr>
          <w:ilvl w:val="0"/>
          <w:numId w:val="0"/>
        </w:numPr>
        <w:ind w:leftChars="0"/>
        <w:jc w:val="both"/>
        <w:rPr>
          <w:rFonts w:hint="default" w:eastAsia="宋体"/>
          <w:b/>
          <w:bCs/>
          <w:color w:val="auto"/>
          <w:sz w:val="20"/>
          <w:szCs w:val="20"/>
          <w:u w:val="single"/>
          <w:lang w:val="en-US" w:eastAsia="zh-CN"/>
        </w:rPr>
      </w:pPr>
      <w:r>
        <w:rPr>
          <w:rFonts w:hint="eastAsia" w:eastAsia="宋体"/>
          <w:b/>
          <w:bCs/>
          <w:color w:val="auto"/>
          <w:sz w:val="20"/>
          <w:szCs w:val="20"/>
          <w:u w:val="single"/>
          <w:lang w:val="en-US" w:eastAsia="zh-CN"/>
        </w:rPr>
        <w:t>Multiple SCell activation requirement with L3 reporting:</w:t>
      </w:r>
    </w:p>
    <w:p>
      <w:pPr>
        <w:pStyle w:val="12"/>
        <w:tabs>
          <w:tab w:val="left" w:pos="226"/>
          <w:tab w:val="left" w:pos="284"/>
          <w:tab w:val="left" w:pos="5103"/>
        </w:tabs>
        <w:snapToGrid w:val="0"/>
        <w:rPr>
          <w:rFonts w:hint="eastAsia" w:eastAsia="宋体"/>
          <w:bCs/>
          <w:color w:val="auto"/>
          <w:sz w:val="20"/>
          <w:szCs w:val="20"/>
          <w:lang w:val="en-US" w:eastAsia="zh-CN"/>
        </w:rPr>
      </w:pPr>
      <w:r>
        <w:rPr>
          <w:rFonts w:hint="eastAsia" w:eastAsia="宋体"/>
          <w:bCs/>
          <w:color w:val="auto"/>
          <w:sz w:val="20"/>
          <w:szCs w:val="20"/>
          <w:lang w:val="en-US" w:eastAsia="zh-CN"/>
        </w:rPr>
        <w:t>Regarding the multiple SCell activation, since the condition of legacy requirements application for FR1 and FR2 are different, so the applicability of multiple SCell activation with L3 reporting also distinguish between FR1 and FR2. This was clarified in last meeting and the final applicability conditions were refined in [1]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jc w:val="both"/>
              <w:rPr>
                <w:szCs w:val="21"/>
                <w:highlight w:val="green"/>
              </w:rPr>
            </w:pPr>
            <w:r>
              <w:rPr>
                <w:rFonts w:hint="eastAsia"/>
                <w:szCs w:val="21"/>
                <w:highlight w:val="green"/>
              </w:rPr>
              <w:t>A</w:t>
            </w:r>
            <w:r>
              <w:rPr>
                <w:szCs w:val="21"/>
                <w:highlight w:val="green"/>
              </w:rPr>
              <w:t>greement:</w:t>
            </w:r>
          </w:p>
          <w:p>
            <w:pPr>
              <w:pStyle w:val="31"/>
              <w:numPr>
                <w:ilvl w:val="1"/>
                <w:numId w:val="5"/>
              </w:numPr>
              <w:spacing w:after="120"/>
              <w:ind w:firstLineChars="0"/>
              <w:rPr>
                <w:szCs w:val="21"/>
                <w:highlight w:val="green"/>
              </w:rPr>
            </w:pPr>
            <w:r>
              <w:rPr>
                <w:szCs w:val="21"/>
                <w:highlight w:val="green"/>
              </w:rPr>
              <w:t>For FR1</w:t>
            </w:r>
            <w:r>
              <w:rPr>
                <w:rFonts w:hint="eastAsia"/>
                <w:szCs w:val="21"/>
                <w:highlight w:val="green"/>
              </w:rPr>
              <w:t>,</w:t>
            </w:r>
            <w:r>
              <w:rPr>
                <w:szCs w:val="21"/>
                <w:highlight w:val="green"/>
              </w:rPr>
              <w:t xml:space="preserve"> L3 reporting based multiple SCell activation requirements are applicable to unknown target SCell activation when there is no contiguous active serving cell or there is no contiguous known SCell(s) to the unknown to-be-activated SCell on the FR1 band.</w:t>
            </w:r>
          </w:p>
          <w:p>
            <w:pPr>
              <w:pStyle w:val="31"/>
              <w:numPr>
                <w:ilvl w:val="2"/>
                <w:numId w:val="5"/>
              </w:numPr>
              <w:spacing w:after="120"/>
              <w:ind w:firstLineChars="0"/>
              <w:rPr>
                <w:szCs w:val="21"/>
                <w:highlight w:val="green"/>
              </w:rPr>
            </w:pPr>
            <w:r>
              <w:rPr>
                <w:szCs w:val="21"/>
                <w:highlight w:val="green"/>
              </w:rPr>
              <w:t>This condition will be added section 8.3.18.</w:t>
            </w:r>
          </w:p>
          <w:p>
            <w:pPr>
              <w:pStyle w:val="31"/>
              <w:numPr>
                <w:ilvl w:val="1"/>
                <w:numId w:val="5"/>
              </w:numPr>
              <w:spacing w:after="120"/>
              <w:ind w:firstLineChars="0"/>
              <w:rPr>
                <w:szCs w:val="21"/>
                <w:highlight w:val="green"/>
              </w:rPr>
            </w:pPr>
            <w:r>
              <w:rPr>
                <w:szCs w:val="21"/>
                <w:highlight w:val="green"/>
              </w:rPr>
              <w:t>For FR2, L3 reporting based multiple SCell activation requirements are applicable to unknown target SCell activation when there is no active serving cell or there is no known SCell(s) on the same band.</w:t>
            </w:r>
          </w:p>
          <w:p>
            <w:pPr>
              <w:pStyle w:val="31"/>
              <w:numPr>
                <w:ilvl w:val="2"/>
                <w:numId w:val="5"/>
              </w:numPr>
              <w:spacing w:after="120"/>
              <w:ind w:firstLineChars="0"/>
              <w:rPr>
                <w:rFonts w:hint="default" w:eastAsia="宋体"/>
                <w:color w:val="auto"/>
                <w:sz w:val="20"/>
                <w:szCs w:val="20"/>
                <w:highlight w:val="none"/>
                <w:vertAlign w:val="baseline"/>
                <w:lang w:val="en-US" w:eastAsia="zh-CN"/>
              </w:rPr>
            </w:pPr>
            <w:r>
              <w:rPr>
                <w:szCs w:val="21"/>
                <w:highlight w:val="green"/>
              </w:rPr>
              <w:t>This condition will be added section 8.3.18.</w:t>
            </w:r>
          </w:p>
        </w:tc>
      </w:tr>
    </w:tbl>
    <w:p>
      <w:pPr>
        <w:pStyle w:val="12"/>
        <w:tabs>
          <w:tab w:val="left" w:pos="226"/>
          <w:tab w:val="left" w:pos="284"/>
          <w:tab w:val="left" w:pos="5103"/>
        </w:tabs>
        <w:snapToGrid w:val="0"/>
        <w:rPr>
          <w:rFonts w:hint="eastAsia" w:eastAsia="宋体"/>
          <w:bCs/>
          <w:color w:val="auto"/>
          <w:sz w:val="20"/>
          <w:szCs w:val="20"/>
          <w:lang w:val="en-US" w:eastAsia="zh-CN"/>
        </w:rPr>
      </w:pPr>
      <w:r>
        <w:rPr>
          <w:rFonts w:hint="eastAsia" w:eastAsia="宋体"/>
          <w:bCs/>
          <w:color w:val="auto"/>
          <w:sz w:val="20"/>
          <w:szCs w:val="20"/>
          <w:lang w:val="en-US" w:eastAsia="zh-CN"/>
        </w:rPr>
        <w:t xml:space="preserve">Based on this applicability clarification, companies also proposed some additional optimization for multiple SCell activation with L3 reporting. All optimization aim to address the case that not all unknown to-be-activated SCells have L3 reporting. To our understanding, this case may happen, since maybe some unknown to-be-activated SCell does not prepare for valid L3 reporting when receiving the multi-SCell activation command. </w:t>
      </w:r>
    </w:p>
    <w:p>
      <w:pPr>
        <w:pStyle w:val="12"/>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bCs/>
          <w:color w:val="auto"/>
          <w:sz w:val="20"/>
          <w:szCs w:val="20"/>
          <w:lang w:val="en-US" w:eastAsia="zh-CN"/>
        </w:rPr>
      </w:pPr>
      <w:r>
        <w:rPr>
          <w:rFonts w:hint="eastAsia" w:eastAsia="宋体" w:cs="Times New Roman"/>
          <w:b/>
          <w:bCs/>
          <w:color w:val="auto"/>
          <w:sz w:val="20"/>
          <w:szCs w:val="20"/>
          <w:highlight w:val="none"/>
          <w:lang w:val="en-US" w:eastAsia="zh-CN" w:bidi="ar-SA"/>
        </w:rPr>
        <w:t xml:space="preserve">Observation 1: For multi-SCell activation, the case that not all unknown to-be-activated SCells have L3 reporting probably happens due to some unknown to-be-activated SCell does not prepare for valid L3 reporting when receiving the multi-SCell activation command. </w:t>
      </w:r>
    </w:p>
    <w:p>
      <w:pPr>
        <w:pStyle w:val="12"/>
        <w:tabs>
          <w:tab w:val="left" w:pos="226"/>
          <w:tab w:val="left" w:pos="284"/>
          <w:tab w:val="left" w:pos="5103"/>
        </w:tabs>
        <w:snapToGrid w:val="0"/>
        <w:rPr>
          <w:rFonts w:hint="default" w:eastAsia="宋体"/>
          <w:bCs/>
          <w:color w:val="auto"/>
          <w:sz w:val="20"/>
          <w:szCs w:val="20"/>
          <w:lang w:val="en-US" w:eastAsia="zh-CN"/>
        </w:rPr>
      </w:pPr>
      <w:r>
        <w:rPr>
          <w:rFonts w:hint="eastAsia" w:eastAsia="宋体"/>
          <w:bCs/>
          <w:color w:val="auto"/>
          <w:sz w:val="20"/>
          <w:szCs w:val="20"/>
          <w:lang w:val="en-US" w:eastAsia="zh-CN"/>
        </w:rPr>
        <w:t xml:space="preserve">For the unknown SCells with L3 reporting, directly use the R18 requirements, but need to consider the adaptation of N1 counting. While for the unknown SCells without L3 reporting, which requirements to be applied, whether need additional condition, all of these should be decided. Here regarding the unknown SCells without L3 reporting, we believe the above applicability conditions also applicable. In other words, if the SCells does not meet the FR1 or FR2 applicability condition, which is not counted in </w:t>
      </w:r>
      <w:r>
        <w:rPr>
          <w:rFonts w:hint="default" w:eastAsia="宋体"/>
          <w:bCs/>
          <w:color w:val="auto"/>
          <w:sz w:val="20"/>
          <w:szCs w:val="20"/>
          <w:lang w:val="en-US" w:eastAsia="zh-CN"/>
        </w:rPr>
        <w:t>“</w:t>
      </w:r>
      <w:r>
        <w:rPr>
          <w:rFonts w:hint="eastAsia" w:eastAsia="宋体"/>
          <w:bCs/>
          <w:color w:val="auto"/>
          <w:sz w:val="20"/>
          <w:szCs w:val="20"/>
          <w:lang w:val="en-US" w:eastAsia="zh-CN"/>
        </w:rPr>
        <w:t>the unknown SCells without L3 reporting</w:t>
      </w:r>
      <w:r>
        <w:rPr>
          <w:rFonts w:hint="default" w:eastAsia="宋体"/>
          <w:bCs/>
          <w:color w:val="auto"/>
          <w:sz w:val="20"/>
          <w:szCs w:val="20"/>
          <w:lang w:val="en-US" w:eastAsia="zh-CN"/>
        </w:rPr>
        <w:t>”</w:t>
      </w:r>
      <w:r>
        <w:rPr>
          <w:rFonts w:hint="eastAsia" w:eastAsia="宋体"/>
          <w:bCs/>
          <w:color w:val="auto"/>
          <w:sz w:val="20"/>
          <w:szCs w:val="20"/>
          <w:lang w:val="en-US" w:eastAsia="zh-CN"/>
        </w:rPr>
        <w:t xml:space="preserve">. So for FR1, only the unknown SCells without L3 reporting and not contiguous to any active serving cell or any known SCell is counted in </w:t>
      </w:r>
      <w:r>
        <w:rPr>
          <w:rFonts w:hint="default" w:eastAsia="宋体"/>
          <w:bCs/>
          <w:color w:val="auto"/>
          <w:sz w:val="20"/>
          <w:szCs w:val="20"/>
          <w:lang w:val="en-US" w:eastAsia="zh-CN"/>
        </w:rPr>
        <w:t>“</w:t>
      </w:r>
      <w:r>
        <w:rPr>
          <w:rFonts w:hint="eastAsia" w:eastAsia="宋体"/>
          <w:bCs/>
          <w:color w:val="auto"/>
          <w:sz w:val="20"/>
          <w:szCs w:val="20"/>
          <w:lang w:val="en-US" w:eastAsia="zh-CN"/>
        </w:rPr>
        <w:t>the unknown SCells without L3 reporting</w:t>
      </w:r>
      <w:r>
        <w:rPr>
          <w:rFonts w:hint="default" w:eastAsia="宋体"/>
          <w:bCs/>
          <w:color w:val="auto"/>
          <w:sz w:val="20"/>
          <w:szCs w:val="20"/>
          <w:lang w:val="en-US" w:eastAsia="zh-CN"/>
        </w:rPr>
        <w:t>”</w:t>
      </w:r>
      <w:r>
        <w:rPr>
          <w:rFonts w:hint="eastAsia" w:eastAsia="宋体"/>
          <w:bCs/>
          <w:color w:val="auto"/>
          <w:sz w:val="20"/>
          <w:szCs w:val="20"/>
          <w:lang w:val="en-US" w:eastAsia="zh-CN"/>
        </w:rPr>
        <w:t xml:space="preserve">. For FR2, only the unknown SCell without L3 reporting and not in the same band with any active serving cell or any known SCell is counted in </w:t>
      </w:r>
      <w:r>
        <w:rPr>
          <w:rFonts w:hint="default" w:eastAsia="宋体"/>
          <w:bCs/>
          <w:color w:val="auto"/>
          <w:sz w:val="20"/>
          <w:szCs w:val="20"/>
          <w:lang w:val="en-US" w:eastAsia="zh-CN"/>
        </w:rPr>
        <w:t>“</w:t>
      </w:r>
      <w:r>
        <w:rPr>
          <w:rFonts w:hint="eastAsia" w:eastAsia="宋体"/>
          <w:bCs/>
          <w:color w:val="auto"/>
          <w:sz w:val="20"/>
          <w:szCs w:val="20"/>
          <w:lang w:val="en-US" w:eastAsia="zh-CN"/>
        </w:rPr>
        <w:t>the unknown SCells without L3 reporting</w:t>
      </w:r>
      <w:r>
        <w:rPr>
          <w:rFonts w:hint="default" w:eastAsia="宋体"/>
          <w:bCs/>
          <w:color w:val="auto"/>
          <w:sz w:val="20"/>
          <w:szCs w:val="20"/>
          <w:lang w:val="en-US" w:eastAsia="zh-CN"/>
        </w:rPr>
        <w:t>”</w:t>
      </w:r>
      <w:r>
        <w:rPr>
          <w:rFonts w:hint="eastAsia" w:eastAsia="宋体"/>
          <w:bCs/>
          <w:color w:val="auto"/>
          <w:sz w:val="20"/>
          <w:szCs w:val="20"/>
          <w:lang w:val="en-US" w:eastAsia="zh-CN"/>
        </w:rPr>
        <w:t>. For the unknown SCells without L3 reporting but not meet the countable condition, actually they are not the target audience enhanced by R18 L3 reporting based requirements, so keep legacy strategy for them.</w:t>
      </w:r>
    </w:p>
    <w:p>
      <w:pPr>
        <w:pStyle w:val="12"/>
        <w:tabs>
          <w:tab w:val="left" w:pos="226"/>
          <w:tab w:val="left" w:pos="284"/>
          <w:tab w:val="left" w:pos="5103"/>
        </w:tabs>
        <w:snapToGrid w:val="0"/>
        <w:rPr>
          <w:rFonts w:hint="eastAsia" w:eastAsia="宋体"/>
          <w:bCs/>
          <w:color w:val="auto"/>
          <w:sz w:val="20"/>
          <w:szCs w:val="20"/>
          <w:lang w:val="en-US" w:eastAsia="zh-CN"/>
        </w:rPr>
      </w:pPr>
      <w:r>
        <w:rPr>
          <w:rFonts w:hint="eastAsia" w:eastAsia="宋体"/>
          <w:bCs/>
          <w:color w:val="auto"/>
          <w:sz w:val="20"/>
          <w:szCs w:val="20"/>
          <w:lang w:val="en-US" w:eastAsia="zh-CN"/>
        </w:rPr>
        <w:t xml:space="preserve">For the unknown SCells counted in </w:t>
      </w:r>
      <w:r>
        <w:rPr>
          <w:rFonts w:hint="default" w:eastAsia="宋体"/>
          <w:bCs/>
          <w:color w:val="auto"/>
          <w:sz w:val="20"/>
          <w:szCs w:val="20"/>
          <w:lang w:val="en-US" w:eastAsia="zh-CN"/>
        </w:rPr>
        <w:t>“</w:t>
      </w:r>
      <w:r>
        <w:rPr>
          <w:rFonts w:hint="eastAsia" w:eastAsia="宋体"/>
          <w:bCs/>
          <w:color w:val="auto"/>
          <w:sz w:val="20"/>
          <w:szCs w:val="20"/>
          <w:lang w:val="en-US" w:eastAsia="zh-CN"/>
        </w:rPr>
        <w:t>the unknown SCells without L3 reporting</w:t>
      </w:r>
      <w:r>
        <w:rPr>
          <w:rFonts w:hint="default" w:eastAsia="宋体"/>
          <w:bCs/>
          <w:color w:val="auto"/>
          <w:sz w:val="20"/>
          <w:szCs w:val="20"/>
          <w:lang w:val="en-US" w:eastAsia="zh-CN"/>
        </w:rPr>
        <w:t>”</w:t>
      </w:r>
      <w:r>
        <w:rPr>
          <w:rFonts w:hint="eastAsia" w:eastAsia="宋体"/>
          <w:bCs/>
          <w:color w:val="auto"/>
          <w:sz w:val="20"/>
          <w:szCs w:val="20"/>
          <w:lang w:val="en-US" w:eastAsia="zh-CN"/>
        </w:rPr>
        <w:t>, since to no L3 reporting obtained, NW can not determine TCI state, so it seems that these unknown SCells have to follow the legacy single unknown SCell activation procedure or multiple unknown SCell activation procedure, depend on how many such unknown SCells there are.</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For multi-SCell activation, classify the unknown to-be-activated SCell(s) without L3 reporting into two types:</w:t>
      </w:r>
    </w:p>
    <w:p>
      <w:pPr>
        <w:pStyle w:val="12"/>
        <w:keepNext w:val="0"/>
        <w:keepLines w:val="0"/>
        <w:pageBreakBefore w:val="0"/>
        <w:widowControl/>
        <w:numPr>
          <w:ilvl w:val="0"/>
          <w:numId w:val="6"/>
        </w:numPr>
        <w:kinsoku/>
        <w:wordWrap/>
        <w:overflowPunct/>
        <w:topLinePunct w:val="0"/>
        <w:autoSpaceDE/>
        <w:autoSpaceDN/>
        <w:bidi w:val="0"/>
        <w:adjustRightInd/>
        <w:snapToGrid/>
        <w:spacing w:after="0"/>
        <w:ind w:left="420" w:leftChars="0" w:hanging="420" w:firstLine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Type 1: The unknown to-be-activated SCell(s) without L3 reporting and not contiguous to any active serving cell or any known SCell in FR1; or the unknown to-be-activated SCell(s) without L3 reporting and not in the same band with any active serving cell or any known SCell in FR2.</w:t>
      </w:r>
    </w:p>
    <w:p>
      <w:pPr>
        <w:pStyle w:val="12"/>
        <w:keepNext w:val="0"/>
        <w:keepLines w:val="0"/>
        <w:pageBreakBefore w:val="0"/>
        <w:widowControl/>
        <w:numPr>
          <w:ilvl w:val="0"/>
          <w:numId w:val="6"/>
        </w:numPr>
        <w:kinsoku/>
        <w:wordWrap/>
        <w:overflowPunct/>
        <w:topLinePunct w:val="0"/>
        <w:autoSpaceDE/>
        <w:autoSpaceDN/>
        <w:bidi w:val="0"/>
        <w:adjustRightInd/>
        <w:snapToGrid/>
        <w:spacing w:after="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Type 2: The unknown to-be-activated SCell(s) without L3 reporting who does not meet Type 1.</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Type 1, apply legacy single or multiple unknown SCell activation procedure to them, depend on the number of such cell.</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Type 2, they are not the target audience for R18 L3 reporting based requirements, keep legacy strategy for them.</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eastAsia="宋体" w:cs="Times New Roman"/>
          <w:b/>
          <w:bCs/>
          <w:color w:val="auto"/>
          <w:sz w:val="20"/>
          <w:szCs w:val="20"/>
          <w:highlight w:val="none"/>
          <w:lang w:val="en-US" w:eastAsia="zh-CN" w:bidi="ar-SA"/>
        </w:rPr>
      </w:pPr>
    </w:p>
    <w:p>
      <w:pPr>
        <w:widowControl w:val="0"/>
        <w:numPr>
          <w:ilvl w:val="0"/>
          <w:numId w:val="0"/>
        </w:numPr>
        <w:ind w:leftChars="0"/>
        <w:jc w:val="both"/>
        <w:rPr>
          <w:rFonts w:hint="default" w:eastAsia="宋体"/>
          <w:b/>
          <w:bCs/>
          <w:color w:val="auto"/>
          <w:sz w:val="20"/>
          <w:szCs w:val="20"/>
          <w:u w:val="single"/>
          <w:lang w:val="en-US" w:eastAsia="zh-CN"/>
        </w:rPr>
      </w:pPr>
      <w:r>
        <w:rPr>
          <w:rFonts w:hint="eastAsia" w:eastAsia="宋体"/>
          <w:b/>
          <w:bCs/>
          <w:color w:val="auto"/>
          <w:sz w:val="20"/>
          <w:szCs w:val="20"/>
          <w:u w:val="single"/>
          <w:lang w:val="en-US" w:eastAsia="zh-CN"/>
        </w:rPr>
        <w:t>Other issues related with FR1 SCell activation enhancement:</w:t>
      </w:r>
    </w:p>
    <w:p>
      <w:pPr>
        <w:pStyle w:val="12"/>
        <w:tabs>
          <w:tab w:val="left" w:pos="226"/>
          <w:tab w:val="left" w:pos="284"/>
          <w:tab w:val="left" w:pos="5103"/>
        </w:tabs>
        <w:snapToGrid w:val="0"/>
        <w:rPr>
          <w:rFonts w:hint="eastAsia" w:eastAsia="宋体"/>
          <w:bCs/>
          <w:color w:val="auto"/>
          <w:sz w:val="20"/>
          <w:szCs w:val="20"/>
          <w:lang w:val="en-US" w:eastAsia="zh-CN"/>
        </w:rPr>
      </w:pPr>
      <w:r>
        <w:rPr>
          <w:rFonts w:hint="eastAsia" w:eastAsia="宋体"/>
          <w:bCs/>
          <w:color w:val="auto"/>
          <w:sz w:val="20"/>
          <w:szCs w:val="20"/>
          <w:lang w:val="en-US" w:eastAsia="zh-CN"/>
        </w:rPr>
        <w:t>During last meeting, the following proposals were suggested by companies: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keepNext w:val="0"/>
              <w:keepLines w:val="0"/>
              <w:pageBreakBefore w:val="0"/>
              <w:widowControl w:val="0"/>
              <w:numPr>
                <w:ilvl w:val="0"/>
                <w:numId w:val="3"/>
              </w:numPr>
              <w:kinsoku/>
              <w:wordWrap/>
              <w:overflowPunct/>
              <w:topLinePunct w:val="0"/>
              <w:autoSpaceDE/>
              <w:autoSpaceDN/>
              <w:bidi w:val="0"/>
              <w:adjustRightInd/>
              <w:snapToGrid/>
              <w:ind w:left="600" w:leftChars="0" w:firstLineChars="0"/>
              <w:textAlignment w:val="auto"/>
              <w:rPr>
                <w:rFonts w:eastAsia="宋体"/>
              </w:rPr>
            </w:pPr>
            <w:r>
              <w:rPr>
                <w:rFonts w:eastAsia="宋体"/>
              </w:rPr>
              <w:t xml:space="preserve">Proposal 1: </w:t>
            </w:r>
          </w:p>
          <w:p>
            <w:pPr>
              <w:pStyle w:val="31"/>
              <w:keepNext w:val="0"/>
              <w:keepLines w:val="0"/>
              <w:pageBreakBefore w:val="0"/>
              <w:widowControl w:val="0"/>
              <w:numPr>
                <w:ilvl w:val="2"/>
                <w:numId w:val="3"/>
              </w:numPr>
              <w:tabs>
                <w:tab w:val="left" w:pos="-840"/>
                <w:tab w:val="clear" w:pos="-1260"/>
              </w:tabs>
              <w:kinsoku/>
              <w:wordWrap/>
              <w:overflowPunct/>
              <w:topLinePunct w:val="0"/>
              <w:autoSpaceDE/>
              <w:autoSpaceDN/>
              <w:bidi w:val="0"/>
              <w:adjustRightInd/>
              <w:snapToGrid/>
              <w:ind w:left="1116" w:leftChars="0" w:firstLineChars="0"/>
              <w:textAlignment w:val="auto"/>
            </w:pPr>
            <w:r>
              <w:t>RAN4 to discuss if measurement period shall be considered as a condition to differentiate the requirements for FR1 SCell activation enhancement with L3 report.</w:t>
            </w:r>
          </w:p>
          <w:p>
            <w:pPr>
              <w:pStyle w:val="31"/>
              <w:keepNext w:val="0"/>
              <w:keepLines w:val="0"/>
              <w:pageBreakBefore w:val="0"/>
              <w:widowControl w:val="0"/>
              <w:numPr>
                <w:ilvl w:val="2"/>
                <w:numId w:val="3"/>
              </w:numPr>
              <w:tabs>
                <w:tab w:val="left" w:pos="-840"/>
                <w:tab w:val="clear" w:pos="-1260"/>
              </w:tabs>
              <w:kinsoku/>
              <w:wordWrap/>
              <w:overflowPunct/>
              <w:topLinePunct w:val="0"/>
              <w:autoSpaceDE/>
              <w:autoSpaceDN/>
              <w:bidi w:val="0"/>
              <w:adjustRightInd/>
              <w:snapToGrid/>
              <w:ind w:left="1116" w:leftChars="0" w:firstLineChars="0"/>
              <w:textAlignment w:val="auto"/>
              <w:rPr>
                <w:rFonts w:eastAsia="宋体"/>
              </w:rPr>
            </w:pPr>
            <w:r>
              <w:t>Like the legacy FR1 known SCell activation, SCell activation delay requirement with L3 report shall be differentiated according to measurement period below or above 2400ms, and decide if AGC refinement or T/F tracking is needed.</w:t>
            </w:r>
          </w:p>
          <w:p>
            <w:pPr>
              <w:pStyle w:val="31"/>
              <w:keepNext w:val="0"/>
              <w:keepLines w:val="0"/>
              <w:pageBreakBefore w:val="0"/>
              <w:widowControl w:val="0"/>
              <w:numPr>
                <w:ilvl w:val="0"/>
                <w:numId w:val="3"/>
              </w:numPr>
              <w:tabs>
                <w:tab w:val="left" w:pos="-840"/>
                <w:tab w:val="clear" w:pos="-1260"/>
              </w:tabs>
              <w:kinsoku/>
              <w:wordWrap/>
              <w:overflowPunct/>
              <w:topLinePunct w:val="0"/>
              <w:autoSpaceDE/>
              <w:autoSpaceDN/>
              <w:bidi w:val="0"/>
              <w:adjustRightInd/>
              <w:snapToGrid/>
              <w:ind w:left="600" w:leftChars="0" w:firstLineChars="0"/>
              <w:textAlignment w:val="auto"/>
              <w:rPr>
                <w:rFonts w:eastAsia="宋体"/>
              </w:rPr>
            </w:pPr>
            <w:r>
              <w:rPr>
                <w:rFonts w:eastAsia="宋体"/>
              </w:rPr>
              <w:t xml:space="preserve">Proposal 2: </w:t>
            </w:r>
          </w:p>
          <w:p>
            <w:pPr>
              <w:pStyle w:val="31"/>
              <w:keepNext w:val="0"/>
              <w:keepLines w:val="0"/>
              <w:pageBreakBefore w:val="0"/>
              <w:widowControl w:val="0"/>
              <w:numPr>
                <w:ilvl w:val="2"/>
                <w:numId w:val="3"/>
              </w:numPr>
              <w:tabs>
                <w:tab w:val="left" w:pos="-840"/>
                <w:tab w:val="clear" w:pos="-1260"/>
              </w:tabs>
              <w:kinsoku/>
              <w:wordWrap/>
              <w:overflowPunct/>
              <w:topLinePunct w:val="0"/>
              <w:autoSpaceDE/>
              <w:autoSpaceDN/>
              <w:bidi w:val="0"/>
              <w:adjustRightInd/>
              <w:snapToGrid/>
              <w:ind w:left="1116" w:leftChars="0" w:firstLineChars="0"/>
              <w:textAlignment w:val="auto"/>
              <w:rPr>
                <w:rFonts w:eastAsia="宋体"/>
              </w:rPr>
            </w:pPr>
            <w:r>
              <w:rPr>
                <w:rFonts w:eastAsia="宋体"/>
                <w:bCs/>
              </w:rPr>
              <w:t>RAN4 also consider applying enhancements of L3 reporting during SCell activation in FR1 to the case when only one SSB</w:t>
            </w:r>
            <w:r>
              <w:rPr>
                <w:bCs/>
              </w:rPr>
              <w:t xml:space="preserve"> is transmitted in </w:t>
            </w:r>
            <w:r>
              <w:rPr>
                <w:bCs/>
                <w:i/>
              </w:rPr>
              <w:t>ssb-PositionInBurst</w:t>
            </w:r>
            <w:r>
              <w:rPr>
                <w:bCs/>
              </w:rPr>
              <w:t>.</w:t>
            </w:r>
          </w:p>
          <w:p>
            <w:pPr>
              <w:pStyle w:val="31"/>
              <w:keepNext w:val="0"/>
              <w:keepLines w:val="0"/>
              <w:pageBreakBefore w:val="0"/>
              <w:widowControl w:val="0"/>
              <w:numPr>
                <w:ilvl w:val="2"/>
                <w:numId w:val="3"/>
              </w:numPr>
              <w:tabs>
                <w:tab w:val="left" w:pos="-840"/>
                <w:tab w:val="clear" w:pos="-1260"/>
              </w:tabs>
              <w:kinsoku/>
              <w:wordWrap/>
              <w:overflowPunct/>
              <w:topLinePunct w:val="0"/>
              <w:autoSpaceDE/>
              <w:autoSpaceDN/>
              <w:bidi w:val="0"/>
              <w:adjustRightInd/>
              <w:snapToGrid/>
              <w:ind w:left="1116" w:leftChars="0" w:firstLineChars="0"/>
              <w:textAlignment w:val="auto"/>
              <w:rPr>
                <w:rFonts w:hint="default" w:eastAsia="宋体"/>
                <w:bCs/>
                <w:color w:val="auto"/>
                <w:sz w:val="20"/>
                <w:szCs w:val="20"/>
                <w:vertAlign w:val="baseline"/>
                <w:lang w:val="en-US" w:eastAsia="zh-CN"/>
              </w:rPr>
            </w:pPr>
            <w:r>
              <w:rPr>
                <w:rFonts w:eastAsia="宋体"/>
                <w:bCs/>
              </w:rPr>
              <w:t>RAN4 further extend the requirement applicability of 8.3.17 and 8.3.18 to the scenarios in FR1 where only one SSB is considered. If only one SSB is considered, T</w:t>
            </w:r>
            <w:r>
              <w:rPr>
                <w:rFonts w:eastAsia="宋体"/>
                <w:bCs/>
                <w:vertAlign w:val="subscript"/>
              </w:rPr>
              <w:t>uncertainty_MAC</w:t>
            </w:r>
            <w:r>
              <w:rPr>
                <w:rFonts w:eastAsia="宋体"/>
                <w:bCs/>
              </w:rPr>
              <w:t>, T</w:t>
            </w:r>
            <w:r>
              <w:rPr>
                <w:rFonts w:eastAsia="宋体"/>
                <w:bCs/>
                <w:vertAlign w:val="subscript"/>
              </w:rPr>
              <w:t>uncertainty_SP</w:t>
            </w:r>
            <w:r>
              <w:rPr>
                <w:rFonts w:eastAsia="宋体"/>
                <w:bCs/>
              </w:rPr>
              <w:t>, T</w:t>
            </w:r>
            <w:r>
              <w:rPr>
                <w:rFonts w:eastAsia="宋体"/>
                <w:bCs/>
                <w:vertAlign w:val="subscript"/>
              </w:rPr>
              <w:t>uncertainty_RRC</w:t>
            </w:r>
            <w:r>
              <w:rPr>
                <w:rFonts w:eastAsia="宋体"/>
                <w:bCs/>
              </w:rPr>
              <w:t xml:space="preserve"> and T</w:t>
            </w:r>
            <w:r>
              <w:rPr>
                <w:rFonts w:eastAsia="宋体"/>
                <w:bCs/>
                <w:vertAlign w:val="subscript"/>
              </w:rPr>
              <w:t>RRC_delay</w:t>
            </w:r>
            <w:r>
              <w:rPr>
                <w:rFonts w:eastAsia="宋体"/>
                <w:bCs/>
              </w:rPr>
              <w:t xml:space="preserve"> are counted as zero, and the 3ms MACE CE decoding delay for TCI state activation is removed, i.e. the overall delay </w:t>
            </w:r>
            <w:r>
              <w:rPr>
                <w:bCs/>
              </w:rPr>
              <w:t>T</w:t>
            </w:r>
            <w:r>
              <w:rPr>
                <w:bCs/>
                <w:vertAlign w:val="subscript"/>
              </w:rPr>
              <w:t>activation_time</w:t>
            </w:r>
            <w:r>
              <w:rPr>
                <w:bCs/>
              </w:rPr>
              <w:t xml:space="preserve"> is 7ms + T</w:t>
            </w:r>
            <w:r>
              <w:rPr>
                <w:bCs/>
                <w:vertAlign w:val="subscript"/>
              </w:rPr>
              <w:t>L3,report</w:t>
            </w:r>
            <w:r>
              <w:rPr>
                <w:bCs/>
              </w:rPr>
              <w:t>+ T</w:t>
            </w:r>
            <w:r>
              <w:rPr>
                <w:bCs/>
                <w:vertAlign w:val="subscript"/>
              </w:rPr>
              <w:t>HARQ</w:t>
            </w:r>
            <w:r>
              <w:rPr>
                <w:bCs/>
              </w:rPr>
              <w:t xml:space="preserve"> + T</w:t>
            </w:r>
            <w:r>
              <w:rPr>
                <w:bCs/>
                <w:vertAlign w:val="subscript"/>
              </w:rPr>
              <w:t>FineTiming</w:t>
            </w:r>
            <w:r>
              <w:rPr>
                <w:bCs/>
              </w:rPr>
              <w:t xml:space="preserve"> + 2ms</w:t>
            </w:r>
            <w:r>
              <w:rPr>
                <w:rFonts w:eastAsia="宋体"/>
                <w:bCs/>
              </w:rPr>
              <w:t>.</w:t>
            </w:r>
          </w:p>
        </w:tc>
      </w:tr>
    </w:tbl>
    <w:p>
      <w:pPr>
        <w:pStyle w:val="12"/>
        <w:tabs>
          <w:tab w:val="left" w:pos="226"/>
          <w:tab w:val="left" w:pos="284"/>
          <w:tab w:val="left" w:pos="5103"/>
        </w:tabs>
        <w:snapToGrid w:val="0"/>
        <w:rPr>
          <w:rFonts w:hint="eastAsia" w:eastAsia="宋体"/>
          <w:bCs/>
          <w:color w:val="auto"/>
          <w:sz w:val="20"/>
          <w:szCs w:val="20"/>
          <w:lang w:val="en-US" w:eastAsia="zh-CN"/>
        </w:rPr>
      </w:pPr>
      <w:r>
        <w:rPr>
          <w:rFonts w:hint="eastAsia" w:eastAsia="宋体"/>
          <w:bCs/>
          <w:color w:val="auto"/>
          <w:sz w:val="20"/>
          <w:szCs w:val="20"/>
          <w:lang w:val="en-US" w:eastAsia="zh-CN"/>
        </w:rPr>
        <w:t>Regarding the Proposal 1, we appreciate it, actually it just copy small enhancement in legacy. If the measurement period &gt; 2400, both AGC refining plus T/F tracking are necessary; Otherwise, only T/F tracking is needed.</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the L3 reporting based requirements, whether to ignore the AGC refinement, which can be determined by the measurement period. That is:</w:t>
      </w:r>
    </w:p>
    <w:p>
      <w:pPr>
        <w:pStyle w:val="12"/>
        <w:keepNext w:val="0"/>
        <w:keepLines w:val="0"/>
        <w:pageBreakBefore w:val="0"/>
        <w:widowControl/>
        <w:numPr>
          <w:ilvl w:val="0"/>
          <w:numId w:val="7"/>
        </w:numPr>
        <w:kinsoku/>
        <w:wordWrap/>
        <w:overflowPunct/>
        <w:topLinePunct w:val="0"/>
        <w:autoSpaceDE/>
        <w:autoSpaceDN/>
        <w:bidi w:val="0"/>
        <w:adjustRightInd/>
        <w:snapToGrid/>
        <w:spacing w:after="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If the measurement period &gt; 2400, both AGC refining plus T/F tracking are necessary;</w:t>
      </w:r>
    </w:p>
    <w:p>
      <w:pPr>
        <w:pStyle w:val="12"/>
        <w:keepNext w:val="0"/>
        <w:keepLines w:val="0"/>
        <w:pageBreakBefore w:val="0"/>
        <w:widowControl/>
        <w:numPr>
          <w:ilvl w:val="0"/>
          <w:numId w:val="7"/>
        </w:numPr>
        <w:kinsoku/>
        <w:wordWrap/>
        <w:overflowPunct/>
        <w:topLinePunct w:val="0"/>
        <w:autoSpaceDE/>
        <w:autoSpaceDN/>
        <w:bidi w:val="0"/>
        <w:adjustRightInd/>
        <w:snapToGrid/>
        <w:spacing w:after="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Otherwise, only T/F tracking is needed.</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eastAsia="宋体" w:cs="Times New Roman"/>
          <w:b/>
          <w:bCs/>
          <w:color w:val="auto"/>
          <w:sz w:val="20"/>
          <w:szCs w:val="20"/>
          <w:highlight w:val="none"/>
          <w:lang w:val="en-US" w:eastAsia="zh-CN" w:bidi="ar-SA"/>
        </w:rPr>
      </w:pPr>
    </w:p>
    <w:p>
      <w:pPr>
        <w:pStyle w:val="12"/>
        <w:tabs>
          <w:tab w:val="left" w:pos="226"/>
          <w:tab w:val="left" w:pos="284"/>
          <w:tab w:val="left" w:pos="5103"/>
        </w:tabs>
        <w:snapToGrid w:val="0"/>
        <w:rPr>
          <w:rFonts w:hint="default" w:eastAsia="宋体"/>
          <w:bCs/>
          <w:color w:val="auto"/>
          <w:sz w:val="20"/>
          <w:szCs w:val="20"/>
          <w:lang w:val="en-US" w:eastAsia="ja-JP"/>
        </w:rPr>
      </w:pPr>
      <w:r>
        <w:rPr>
          <w:rFonts w:hint="eastAsia" w:eastAsia="宋体"/>
          <w:bCs/>
          <w:color w:val="auto"/>
          <w:sz w:val="20"/>
          <w:szCs w:val="20"/>
          <w:lang w:val="en-US" w:eastAsia="zh-CN"/>
        </w:rPr>
        <w:t xml:space="preserve">Regarding Proposal 2, it aims to enhance the case of without L1 meas&amp;report by the L3 reporting based enhancement. We believe it makes sense. But to our understanding, two conditions imply no need of L1 meas&amp;report: 1) only one SSB configured; 2) The TCI state indication at the same time with unknown SCell activation command. So if accept the optimization of Proposal 2, the two cases both should be covered. </w:t>
      </w:r>
    </w:p>
    <w:p>
      <w:pPr>
        <w:pStyle w:val="12"/>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L3 reporting based requirements can also be applied to the cases in FR1: 1) Only one SSB is transmitted in ssb-PositionInBurst; 2) The TCI state indication at the same time with unknown SCell activation command.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2"/>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performance part of</w:t>
      </w:r>
      <w:r>
        <w:rPr>
          <w:rFonts w:hint="eastAsia" w:eastAsia="宋体"/>
          <w:color w:val="auto"/>
          <w:sz w:val="20"/>
          <w:szCs w:val="20"/>
          <w:lang w:val="en-US" w:eastAsia="zh-CN"/>
        </w:rPr>
        <w:t xml:space="preserve"> SCell activation enhancements</w:t>
      </w:r>
      <w:r>
        <w:rPr>
          <w:rFonts w:eastAsia="宋体"/>
          <w:bCs/>
          <w:color w:val="auto"/>
          <w:sz w:val="20"/>
          <w:szCs w:val="20"/>
          <w:lang w:val="en-GB" w:eastAsia="zh-CN"/>
        </w:rPr>
        <w:t>:</w:t>
      </w:r>
    </w:p>
    <w:p>
      <w:pPr>
        <w:pStyle w:val="12"/>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For multi-SCell activation, the case that not all unknown to-be-activated SCells have L3 reporting probably happens due to some unknown to-be-activated SCell does not prepare for valid L3 reporting when receiving the multi-SCell activation command. </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For multi-SCell activation, classify the unknown to-be-activated SCell(s) without L3 reporting into two types:</w:t>
      </w:r>
    </w:p>
    <w:p>
      <w:pPr>
        <w:pStyle w:val="12"/>
        <w:keepNext w:val="0"/>
        <w:keepLines w:val="0"/>
        <w:pageBreakBefore w:val="0"/>
        <w:widowControl/>
        <w:numPr>
          <w:ilvl w:val="0"/>
          <w:numId w:val="6"/>
        </w:numPr>
        <w:kinsoku/>
        <w:wordWrap/>
        <w:overflowPunct/>
        <w:topLinePunct w:val="0"/>
        <w:autoSpaceDE/>
        <w:autoSpaceDN/>
        <w:bidi w:val="0"/>
        <w:adjustRightInd/>
        <w:snapToGrid/>
        <w:spacing w:after="0"/>
        <w:ind w:left="420" w:leftChars="0" w:hanging="420" w:firstLine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Type 1: The unknown to-be-activated SCell(s) without L3 reporting and not contiguous to any active serving cell or any known SCell in FR1; or the unknown to-be-activated SCell(s) without L3 reporting and not in the same band with any active serving cell or any known SCell in FR2.</w:t>
      </w:r>
    </w:p>
    <w:p>
      <w:pPr>
        <w:pStyle w:val="12"/>
        <w:keepNext w:val="0"/>
        <w:keepLines w:val="0"/>
        <w:pageBreakBefore w:val="0"/>
        <w:widowControl/>
        <w:numPr>
          <w:ilvl w:val="0"/>
          <w:numId w:val="6"/>
        </w:numPr>
        <w:kinsoku/>
        <w:wordWrap/>
        <w:overflowPunct/>
        <w:topLinePunct w:val="0"/>
        <w:autoSpaceDE/>
        <w:autoSpaceDN/>
        <w:bidi w:val="0"/>
        <w:adjustRightInd/>
        <w:snapToGrid/>
        <w:spacing w:after="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Type 2: The unknown to-be-activated SCell(s) without L3 reporting who does not meet Type 1.</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Type 1, apply legacy single or multiple unknown SCell activation procedure to them, depend on the number of such cell.</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Type 2, they are not the target audience for R18 L3 reporting based requirements, keep legacy strategy for them.</w:t>
      </w:r>
    </w:p>
    <w:p>
      <w:pPr>
        <w:pStyle w:val="12"/>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the L3 reporting based requirements, whether to ignore the AGC refinement, which can be determined by the measurement period. That is:</w:t>
      </w:r>
    </w:p>
    <w:p>
      <w:pPr>
        <w:pStyle w:val="12"/>
        <w:keepNext w:val="0"/>
        <w:keepLines w:val="0"/>
        <w:pageBreakBefore w:val="0"/>
        <w:widowControl/>
        <w:numPr>
          <w:ilvl w:val="0"/>
          <w:numId w:val="7"/>
        </w:numPr>
        <w:kinsoku/>
        <w:wordWrap/>
        <w:overflowPunct/>
        <w:topLinePunct w:val="0"/>
        <w:autoSpaceDE/>
        <w:autoSpaceDN/>
        <w:bidi w:val="0"/>
        <w:adjustRightInd/>
        <w:snapToGrid/>
        <w:spacing w:after="0"/>
        <w:ind w:left="420" w:leftChars="0" w:hanging="420" w:firstLine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If the measurement period &gt; 2400, both AGC refining plus T/F tracking are necessary;</w:t>
      </w:r>
    </w:p>
    <w:p>
      <w:pPr>
        <w:pStyle w:val="12"/>
        <w:keepNext w:val="0"/>
        <w:keepLines w:val="0"/>
        <w:pageBreakBefore w:val="0"/>
        <w:widowControl/>
        <w:numPr>
          <w:ilvl w:val="0"/>
          <w:numId w:val="7"/>
        </w:numPr>
        <w:kinsoku/>
        <w:wordWrap/>
        <w:overflowPunct/>
        <w:topLinePunct w:val="0"/>
        <w:autoSpaceDE/>
        <w:autoSpaceDN/>
        <w:bidi w:val="0"/>
        <w:adjustRightInd/>
        <w:snapToGrid/>
        <w:spacing w:after="0"/>
        <w:ind w:left="420" w:leftChars="0" w:hanging="420" w:firstLine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Otherwise, only T/F tracking is needed.</w:t>
      </w:r>
    </w:p>
    <w:p>
      <w:pPr>
        <w:pStyle w:val="12"/>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L3 reporting based requirements can also be applied to the cases in FR1: 1) Only one SSB is transmitted in ssb-PositionInBurst; 2) The TCI state indication at the same time with unknown SCell activation command.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7"/>
        <w:numPr>
          <w:ilvl w:val="0"/>
          <w:numId w:val="8"/>
        </w:numPr>
        <w:ind w:leftChars="0"/>
        <w:rPr>
          <w:rFonts w:hint="eastAsia"/>
          <w:color w:val="auto"/>
          <w:lang w:val="en-US" w:eastAsia="zh-CN"/>
        </w:rPr>
      </w:pPr>
      <w:r>
        <w:rPr>
          <w:rFonts w:hint="eastAsia"/>
          <w:color w:val="auto"/>
          <w:lang w:val="en-US" w:eastAsia="zh-CN"/>
        </w:rPr>
        <w:t xml:space="preserve">R4-2410259 </w:t>
      </w:r>
      <w:r>
        <w:rPr>
          <w:rFonts w:hint="default"/>
          <w:color w:val="auto"/>
          <w:lang w:val="en-US" w:eastAsia="zh-CN"/>
        </w:rPr>
        <w:t>“Way Forward for [11</w:t>
      </w:r>
      <w:r>
        <w:rPr>
          <w:rFonts w:hint="eastAsia"/>
          <w:color w:val="auto"/>
          <w:lang w:val="en-US" w:eastAsia="zh-CN"/>
        </w:rPr>
        <w:t>1</w:t>
      </w:r>
      <w:r>
        <w:rPr>
          <w:rFonts w:hint="default"/>
          <w:color w:val="auto"/>
          <w:lang w:val="en-US" w:eastAsia="zh-CN"/>
        </w:rPr>
        <w:t>][20</w:t>
      </w:r>
      <w:r>
        <w:rPr>
          <w:rFonts w:hint="eastAsia"/>
          <w:color w:val="auto"/>
          <w:lang w:val="en-US" w:eastAsia="zh-CN"/>
        </w:rPr>
        <w:t>5</w:t>
      </w:r>
      <w:r>
        <w:rPr>
          <w:rFonts w:hint="default"/>
          <w:color w:val="auto"/>
          <w:lang w:val="en-US" w:eastAsia="zh-CN"/>
        </w:rPr>
        <w:t>] NR_RRM_enh3_part1”</w:t>
      </w:r>
      <w:r>
        <w:rPr>
          <w:rFonts w:hint="eastAsia"/>
          <w:color w:val="auto"/>
          <w:lang w:val="en-US" w:eastAsia="zh-CN"/>
        </w:rPr>
        <w:t>, Apple</w:t>
      </w:r>
    </w:p>
    <w:p>
      <w:pPr>
        <w:pStyle w:val="7"/>
        <w:numPr>
          <w:ilvl w:val="0"/>
          <w:numId w:val="0"/>
        </w:numPr>
        <w:ind w:left="200" w:leftChars="0"/>
        <w:rPr>
          <w:rFonts w:hint="eastAsia"/>
          <w:color w:val="auto"/>
          <w:lang w:val="en-US" w:eastAsia="zh-CN"/>
        </w:rPr>
      </w:pPr>
    </w:p>
    <w:p>
      <w:pPr>
        <w:pStyle w:val="7"/>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8F98BA"/>
    <w:multiLevelType w:val="singleLevel"/>
    <w:tmpl w:val="948F98BA"/>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8B2E59A"/>
    <w:multiLevelType w:val="singleLevel"/>
    <w:tmpl w:val="38B2E59A"/>
    <w:lvl w:ilvl="0" w:tentative="0">
      <w:start w:val="1"/>
      <w:numFmt w:val="bullet"/>
      <w:lvlText w:val=""/>
      <w:lvlJc w:val="left"/>
      <w:pPr>
        <w:ind w:left="420" w:hanging="420"/>
      </w:pPr>
      <w:rPr>
        <w:rFonts w:hint="default" w:ascii="Wingdings" w:hAnsi="Wingdings"/>
      </w:rPr>
    </w:lvl>
  </w:abstractNum>
  <w:abstractNum w:abstractNumId="3">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1260"/>
        </w:tabs>
        <w:ind w:left="-324" w:hanging="360"/>
      </w:pPr>
      <w:rPr>
        <w:rFonts w:hint="default" w:ascii="Symbol" w:hAnsi="Symbol"/>
      </w:rPr>
    </w:lvl>
    <w:lvl w:ilvl="1" w:tentative="0">
      <w:start w:val="1"/>
      <w:numFmt w:val="bullet"/>
      <w:pStyle w:val="61"/>
      <w:lvlText w:val="o"/>
      <w:lvlJc w:val="left"/>
      <w:pPr>
        <w:tabs>
          <w:tab w:val="left" w:pos="-1260"/>
        </w:tabs>
        <w:ind w:left="396" w:hanging="360"/>
      </w:pPr>
      <w:rPr>
        <w:rFonts w:hint="default" w:ascii="Courier New" w:hAnsi="Courier New" w:cs="Courier New"/>
      </w:rPr>
    </w:lvl>
    <w:lvl w:ilvl="2" w:tentative="0">
      <w:start w:val="1"/>
      <w:numFmt w:val="bullet"/>
      <w:lvlText w:val=""/>
      <w:lvlJc w:val="left"/>
      <w:pPr>
        <w:tabs>
          <w:tab w:val="left" w:pos="-1260"/>
        </w:tabs>
        <w:ind w:left="1116" w:hanging="360"/>
      </w:pPr>
      <w:rPr>
        <w:rFonts w:hint="default" w:ascii="Wingdings" w:hAnsi="Wingdings"/>
      </w:rPr>
    </w:lvl>
    <w:lvl w:ilvl="3" w:tentative="0">
      <w:start w:val="1"/>
      <w:numFmt w:val="bullet"/>
      <w:lvlText w:val=""/>
      <w:lvlJc w:val="left"/>
      <w:pPr>
        <w:tabs>
          <w:tab w:val="left" w:pos="-1260"/>
        </w:tabs>
        <w:ind w:left="1836" w:hanging="360"/>
      </w:pPr>
      <w:rPr>
        <w:rFonts w:hint="default" w:ascii="Symbol" w:hAnsi="Symbol"/>
      </w:rPr>
    </w:lvl>
    <w:lvl w:ilvl="4" w:tentative="0">
      <w:start w:val="1"/>
      <w:numFmt w:val="bullet"/>
      <w:lvlText w:val="o"/>
      <w:lvlJc w:val="left"/>
      <w:pPr>
        <w:tabs>
          <w:tab w:val="left" w:pos="-1260"/>
        </w:tabs>
        <w:ind w:left="2556" w:hanging="360"/>
      </w:pPr>
      <w:rPr>
        <w:rFonts w:hint="default" w:ascii="Courier New" w:hAnsi="Courier New" w:cs="Courier New"/>
      </w:rPr>
    </w:lvl>
    <w:lvl w:ilvl="5" w:tentative="0">
      <w:start w:val="1"/>
      <w:numFmt w:val="bullet"/>
      <w:lvlText w:val=""/>
      <w:lvlJc w:val="left"/>
      <w:pPr>
        <w:tabs>
          <w:tab w:val="left" w:pos="-1260"/>
        </w:tabs>
        <w:ind w:left="3276" w:hanging="360"/>
      </w:pPr>
      <w:rPr>
        <w:rFonts w:hint="default" w:ascii="Wingdings" w:hAnsi="Wingdings"/>
      </w:rPr>
    </w:lvl>
    <w:lvl w:ilvl="6" w:tentative="0">
      <w:start w:val="1"/>
      <w:numFmt w:val="bullet"/>
      <w:lvlText w:val=""/>
      <w:lvlJc w:val="left"/>
      <w:pPr>
        <w:tabs>
          <w:tab w:val="left" w:pos="-1260"/>
        </w:tabs>
        <w:ind w:left="3996" w:hanging="360"/>
      </w:pPr>
      <w:rPr>
        <w:rFonts w:hint="default" w:ascii="Symbol" w:hAnsi="Symbol"/>
      </w:rPr>
    </w:lvl>
    <w:lvl w:ilvl="7" w:tentative="0">
      <w:start w:val="1"/>
      <w:numFmt w:val="bullet"/>
      <w:lvlText w:val="o"/>
      <w:lvlJc w:val="left"/>
      <w:pPr>
        <w:tabs>
          <w:tab w:val="left" w:pos="-1260"/>
        </w:tabs>
        <w:ind w:left="4716" w:hanging="360"/>
      </w:pPr>
      <w:rPr>
        <w:rFonts w:hint="default" w:ascii="Courier New" w:hAnsi="Courier New" w:cs="Courier New"/>
      </w:rPr>
    </w:lvl>
    <w:lvl w:ilvl="8" w:tentative="0">
      <w:start w:val="1"/>
      <w:numFmt w:val="bullet"/>
      <w:lvlText w:val=""/>
      <w:lvlJc w:val="left"/>
      <w:pPr>
        <w:tabs>
          <w:tab w:val="left" w:pos="-1260"/>
        </w:tabs>
        <w:ind w:left="5436" w:hanging="360"/>
      </w:pPr>
      <w:rPr>
        <w:rFonts w:hint="default" w:ascii="Wingdings" w:hAnsi="Wingdings"/>
      </w:rPr>
    </w:lvl>
  </w:abstractNum>
  <w:abstractNum w:abstractNumId="5">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B5B4F67"/>
    <w:multiLevelType w:val="multilevel"/>
    <w:tmpl w:val="6B5B4F67"/>
    <w:lvl w:ilvl="0" w:tentative="0">
      <w:start w:val="1"/>
      <w:numFmt w:val="decimal"/>
      <w:pStyle w:val="7"/>
      <w:lvlText w:val="[%1]"/>
      <w:lvlJc w:val="left"/>
      <w:pPr>
        <w:ind w:left="200" w:hanging="420"/>
      </w:pPr>
      <w:rPr>
        <w:rFonts w:hint="eastAsia"/>
      </w:rPr>
    </w:lvl>
    <w:lvl w:ilvl="1" w:tentative="0">
      <w:start w:val="1"/>
      <w:numFmt w:val="lowerLetter"/>
      <w:lvlText w:val="%2)"/>
      <w:lvlJc w:val="left"/>
      <w:pPr>
        <w:ind w:left="262" w:hanging="420"/>
      </w:pPr>
    </w:lvl>
    <w:lvl w:ilvl="2" w:tentative="0">
      <w:start w:val="1"/>
      <w:numFmt w:val="lowerRoman"/>
      <w:lvlText w:val="%3."/>
      <w:lvlJc w:val="right"/>
      <w:pPr>
        <w:ind w:left="682" w:hanging="420"/>
      </w:pPr>
    </w:lvl>
    <w:lvl w:ilvl="3" w:tentative="0">
      <w:start w:val="1"/>
      <w:numFmt w:val="decimal"/>
      <w:lvlText w:val="%4."/>
      <w:lvlJc w:val="left"/>
      <w:pPr>
        <w:ind w:left="1102" w:hanging="420"/>
      </w:pPr>
    </w:lvl>
    <w:lvl w:ilvl="4" w:tentative="0">
      <w:start w:val="1"/>
      <w:numFmt w:val="lowerLetter"/>
      <w:lvlText w:val="%5)"/>
      <w:lvlJc w:val="left"/>
      <w:pPr>
        <w:ind w:left="1522" w:hanging="420"/>
      </w:pPr>
    </w:lvl>
    <w:lvl w:ilvl="5" w:tentative="0">
      <w:start w:val="1"/>
      <w:numFmt w:val="lowerRoman"/>
      <w:lvlText w:val="%6."/>
      <w:lvlJc w:val="right"/>
      <w:pPr>
        <w:ind w:left="1942" w:hanging="420"/>
      </w:pPr>
    </w:lvl>
    <w:lvl w:ilvl="6" w:tentative="0">
      <w:start w:val="1"/>
      <w:numFmt w:val="decimal"/>
      <w:lvlText w:val="%7."/>
      <w:lvlJc w:val="left"/>
      <w:pPr>
        <w:ind w:left="2362" w:hanging="420"/>
      </w:pPr>
    </w:lvl>
    <w:lvl w:ilvl="7" w:tentative="0">
      <w:start w:val="1"/>
      <w:numFmt w:val="lowerLetter"/>
      <w:lvlText w:val="%8)"/>
      <w:lvlJc w:val="left"/>
      <w:pPr>
        <w:ind w:left="2782" w:hanging="420"/>
      </w:pPr>
    </w:lvl>
    <w:lvl w:ilvl="8" w:tentative="0">
      <w:start w:val="1"/>
      <w:numFmt w:val="lowerRoman"/>
      <w:lvlText w:val="%9."/>
      <w:lvlJc w:val="right"/>
      <w:pPr>
        <w:ind w:left="3202" w:hanging="420"/>
      </w:pPr>
    </w:lvl>
  </w:abstractNum>
  <w:abstractNum w:abstractNumId="7">
    <w:nsid w:val="6D132084"/>
    <w:multiLevelType w:val="singleLevel"/>
    <w:tmpl w:val="6D132084"/>
    <w:lvl w:ilvl="0" w:tentative="0">
      <w:start w:val="1"/>
      <w:numFmt w:val="decimal"/>
      <w:suff w:val="space"/>
      <w:lvlText w:val="[%1]"/>
      <w:lvlJc w:val="left"/>
    </w:lvl>
  </w:abstractNum>
  <w:num w:numId="1">
    <w:abstractNumId w:val="6"/>
  </w:num>
  <w:num w:numId="2">
    <w:abstractNumId w:val="3"/>
  </w:num>
  <w:num w:numId="3">
    <w:abstractNumId w:val="4"/>
  </w:num>
  <w:num w:numId="4">
    <w:abstractNumId w:val="1"/>
  </w:num>
  <w:num w:numId="5">
    <w:abstractNumId w:val="5"/>
  </w:num>
  <w:num w:numId="6">
    <w:abstractNumId w:val="2"/>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7A5"/>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19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463692"/>
    <w:rsid w:val="01891204"/>
    <w:rsid w:val="01F37ADA"/>
    <w:rsid w:val="028B6A1D"/>
    <w:rsid w:val="028F1C3E"/>
    <w:rsid w:val="037D0CB3"/>
    <w:rsid w:val="037E115D"/>
    <w:rsid w:val="03D4720A"/>
    <w:rsid w:val="04026226"/>
    <w:rsid w:val="04654053"/>
    <w:rsid w:val="04793516"/>
    <w:rsid w:val="047A3CFF"/>
    <w:rsid w:val="04F403D8"/>
    <w:rsid w:val="05317828"/>
    <w:rsid w:val="053A2B03"/>
    <w:rsid w:val="05477E90"/>
    <w:rsid w:val="05BB5AB9"/>
    <w:rsid w:val="05C42923"/>
    <w:rsid w:val="06963BA6"/>
    <w:rsid w:val="06D6697E"/>
    <w:rsid w:val="075928A1"/>
    <w:rsid w:val="07CD3CDD"/>
    <w:rsid w:val="0855671D"/>
    <w:rsid w:val="08777F6D"/>
    <w:rsid w:val="089009EB"/>
    <w:rsid w:val="096641FF"/>
    <w:rsid w:val="09716BCA"/>
    <w:rsid w:val="09D64B23"/>
    <w:rsid w:val="09E644B8"/>
    <w:rsid w:val="0B12013A"/>
    <w:rsid w:val="0B3D3C2F"/>
    <w:rsid w:val="0BB0429A"/>
    <w:rsid w:val="0BFF5FC6"/>
    <w:rsid w:val="0C394019"/>
    <w:rsid w:val="0CF856E7"/>
    <w:rsid w:val="0D2A60F1"/>
    <w:rsid w:val="0D587851"/>
    <w:rsid w:val="0E871F55"/>
    <w:rsid w:val="0EB60EDD"/>
    <w:rsid w:val="0F7514C6"/>
    <w:rsid w:val="0FB6689B"/>
    <w:rsid w:val="10832C30"/>
    <w:rsid w:val="10997F43"/>
    <w:rsid w:val="10DE7BAE"/>
    <w:rsid w:val="110768ED"/>
    <w:rsid w:val="120774A3"/>
    <w:rsid w:val="124D1C25"/>
    <w:rsid w:val="12866C44"/>
    <w:rsid w:val="13262C7B"/>
    <w:rsid w:val="136B3851"/>
    <w:rsid w:val="13B66EB5"/>
    <w:rsid w:val="14006D19"/>
    <w:rsid w:val="14337DBF"/>
    <w:rsid w:val="1481754F"/>
    <w:rsid w:val="148F5721"/>
    <w:rsid w:val="14AC57CD"/>
    <w:rsid w:val="14B90DF6"/>
    <w:rsid w:val="159C76CB"/>
    <w:rsid w:val="15C37DEC"/>
    <w:rsid w:val="15ED3E9B"/>
    <w:rsid w:val="164514BE"/>
    <w:rsid w:val="16CD72CF"/>
    <w:rsid w:val="17065891"/>
    <w:rsid w:val="170F06AA"/>
    <w:rsid w:val="17225508"/>
    <w:rsid w:val="17564923"/>
    <w:rsid w:val="17C63C83"/>
    <w:rsid w:val="180A6E32"/>
    <w:rsid w:val="1825042E"/>
    <w:rsid w:val="183F2CD2"/>
    <w:rsid w:val="1856323E"/>
    <w:rsid w:val="18AF55E3"/>
    <w:rsid w:val="18B1519A"/>
    <w:rsid w:val="18CD0507"/>
    <w:rsid w:val="195D7D48"/>
    <w:rsid w:val="196E39FC"/>
    <w:rsid w:val="197B756F"/>
    <w:rsid w:val="19884F63"/>
    <w:rsid w:val="19960536"/>
    <w:rsid w:val="1AD01A1B"/>
    <w:rsid w:val="1B3C3255"/>
    <w:rsid w:val="1B61065A"/>
    <w:rsid w:val="1B731483"/>
    <w:rsid w:val="1BBF3927"/>
    <w:rsid w:val="1BD261F4"/>
    <w:rsid w:val="1C177B08"/>
    <w:rsid w:val="1C702C80"/>
    <w:rsid w:val="1C9001C6"/>
    <w:rsid w:val="1CBA2101"/>
    <w:rsid w:val="1CC2157E"/>
    <w:rsid w:val="1D0573D7"/>
    <w:rsid w:val="1D153DC4"/>
    <w:rsid w:val="1D223E0B"/>
    <w:rsid w:val="1E132F88"/>
    <w:rsid w:val="1E2867E9"/>
    <w:rsid w:val="1E513650"/>
    <w:rsid w:val="1E853F6F"/>
    <w:rsid w:val="1E9C7BCC"/>
    <w:rsid w:val="1EC87896"/>
    <w:rsid w:val="1ECC1E3C"/>
    <w:rsid w:val="20080741"/>
    <w:rsid w:val="20933D8F"/>
    <w:rsid w:val="20AE781D"/>
    <w:rsid w:val="20C806F7"/>
    <w:rsid w:val="21014C39"/>
    <w:rsid w:val="21244EB1"/>
    <w:rsid w:val="213964D8"/>
    <w:rsid w:val="214F3475"/>
    <w:rsid w:val="21595D04"/>
    <w:rsid w:val="21F13629"/>
    <w:rsid w:val="2305377E"/>
    <w:rsid w:val="24122135"/>
    <w:rsid w:val="24220030"/>
    <w:rsid w:val="24D4257E"/>
    <w:rsid w:val="24D7783C"/>
    <w:rsid w:val="25490B44"/>
    <w:rsid w:val="2572202B"/>
    <w:rsid w:val="2605683C"/>
    <w:rsid w:val="260C4DC9"/>
    <w:rsid w:val="269452A9"/>
    <w:rsid w:val="26BB1419"/>
    <w:rsid w:val="2732686A"/>
    <w:rsid w:val="273D2956"/>
    <w:rsid w:val="27B748AA"/>
    <w:rsid w:val="27CB4CB9"/>
    <w:rsid w:val="27D31A52"/>
    <w:rsid w:val="27FC40F8"/>
    <w:rsid w:val="28121B1E"/>
    <w:rsid w:val="281C2F58"/>
    <w:rsid w:val="28B11127"/>
    <w:rsid w:val="28DC7602"/>
    <w:rsid w:val="29642C4B"/>
    <w:rsid w:val="296569C3"/>
    <w:rsid w:val="2A34628C"/>
    <w:rsid w:val="2A724D05"/>
    <w:rsid w:val="2A7E505C"/>
    <w:rsid w:val="2AC85686"/>
    <w:rsid w:val="2AD04B5F"/>
    <w:rsid w:val="2AF821D7"/>
    <w:rsid w:val="2BC05B2C"/>
    <w:rsid w:val="2BD617C5"/>
    <w:rsid w:val="2C112837"/>
    <w:rsid w:val="2C18208A"/>
    <w:rsid w:val="2CAE0227"/>
    <w:rsid w:val="2D586EBF"/>
    <w:rsid w:val="2D6F3D99"/>
    <w:rsid w:val="2DC04760"/>
    <w:rsid w:val="2E014790"/>
    <w:rsid w:val="2E082A14"/>
    <w:rsid w:val="2EBA1DF4"/>
    <w:rsid w:val="2EE77680"/>
    <w:rsid w:val="2F2F0FC8"/>
    <w:rsid w:val="2F546C88"/>
    <w:rsid w:val="2F57467C"/>
    <w:rsid w:val="2FBC15C5"/>
    <w:rsid w:val="301C6BB6"/>
    <w:rsid w:val="30220150"/>
    <w:rsid w:val="30571E20"/>
    <w:rsid w:val="31894491"/>
    <w:rsid w:val="319708F2"/>
    <w:rsid w:val="31B14C9E"/>
    <w:rsid w:val="33C522D7"/>
    <w:rsid w:val="347A51A8"/>
    <w:rsid w:val="34807672"/>
    <w:rsid w:val="34921EC4"/>
    <w:rsid w:val="34A82967"/>
    <w:rsid w:val="34E62056"/>
    <w:rsid w:val="3509099B"/>
    <w:rsid w:val="35B06C6A"/>
    <w:rsid w:val="363D6078"/>
    <w:rsid w:val="36941AA2"/>
    <w:rsid w:val="36D37423"/>
    <w:rsid w:val="36FF6E30"/>
    <w:rsid w:val="370E71B8"/>
    <w:rsid w:val="379D23F9"/>
    <w:rsid w:val="37E12984"/>
    <w:rsid w:val="3840202A"/>
    <w:rsid w:val="390F18D5"/>
    <w:rsid w:val="3A185287"/>
    <w:rsid w:val="3A1F46B8"/>
    <w:rsid w:val="3A692CD0"/>
    <w:rsid w:val="3B270929"/>
    <w:rsid w:val="3B3D5571"/>
    <w:rsid w:val="3B673620"/>
    <w:rsid w:val="3B9A1F29"/>
    <w:rsid w:val="3C5F7C72"/>
    <w:rsid w:val="3CE4646B"/>
    <w:rsid w:val="3D5E7AA8"/>
    <w:rsid w:val="3D6F2596"/>
    <w:rsid w:val="3F836EE6"/>
    <w:rsid w:val="405F175E"/>
    <w:rsid w:val="40C765F3"/>
    <w:rsid w:val="41A2534B"/>
    <w:rsid w:val="41A41A16"/>
    <w:rsid w:val="41BD7DAD"/>
    <w:rsid w:val="42F869D2"/>
    <w:rsid w:val="43285B25"/>
    <w:rsid w:val="43553536"/>
    <w:rsid w:val="43806620"/>
    <w:rsid w:val="443A3304"/>
    <w:rsid w:val="44972678"/>
    <w:rsid w:val="44E85A06"/>
    <w:rsid w:val="451632B9"/>
    <w:rsid w:val="45193F0F"/>
    <w:rsid w:val="4576356B"/>
    <w:rsid w:val="457B4C4B"/>
    <w:rsid w:val="45906394"/>
    <w:rsid w:val="45C25C23"/>
    <w:rsid w:val="45F60A50"/>
    <w:rsid w:val="46142D0C"/>
    <w:rsid w:val="46970A81"/>
    <w:rsid w:val="4697115A"/>
    <w:rsid w:val="46B036BF"/>
    <w:rsid w:val="46C73401"/>
    <w:rsid w:val="47185425"/>
    <w:rsid w:val="47282363"/>
    <w:rsid w:val="49525C50"/>
    <w:rsid w:val="49DC4EAC"/>
    <w:rsid w:val="49E55BC5"/>
    <w:rsid w:val="4B3B06EC"/>
    <w:rsid w:val="4B6E5E44"/>
    <w:rsid w:val="4BF24EEB"/>
    <w:rsid w:val="4C1C63D6"/>
    <w:rsid w:val="4C864A35"/>
    <w:rsid w:val="4CB867ED"/>
    <w:rsid w:val="4CD61886"/>
    <w:rsid w:val="4E015C76"/>
    <w:rsid w:val="4E310026"/>
    <w:rsid w:val="4E4A2325"/>
    <w:rsid w:val="4EF1548F"/>
    <w:rsid w:val="4F2948F1"/>
    <w:rsid w:val="4F2D3B14"/>
    <w:rsid w:val="4F5C5331"/>
    <w:rsid w:val="501A6C55"/>
    <w:rsid w:val="505E1A7C"/>
    <w:rsid w:val="5086431A"/>
    <w:rsid w:val="51B14BED"/>
    <w:rsid w:val="52313D62"/>
    <w:rsid w:val="52526454"/>
    <w:rsid w:val="525C1CEF"/>
    <w:rsid w:val="528B5767"/>
    <w:rsid w:val="52C700B1"/>
    <w:rsid w:val="52D33625"/>
    <w:rsid w:val="53A3105E"/>
    <w:rsid w:val="53C64B93"/>
    <w:rsid w:val="53D64D18"/>
    <w:rsid w:val="54283FDA"/>
    <w:rsid w:val="548A6C60"/>
    <w:rsid w:val="5534082B"/>
    <w:rsid w:val="55B1164D"/>
    <w:rsid w:val="55B4735E"/>
    <w:rsid w:val="55BB221D"/>
    <w:rsid w:val="55F52EA4"/>
    <w:rsid w:val="5604091D"/>
    <w:rsid w:val="56371459"/>
    <w:rsid w:val="56484633"/>
    <w:rsid w:val="56EB15F8"/>
    <w:rsid w:val="58D0053D"/>
    <w:rsid w:val="58DB5C96"/>
    <w:rsid w:val="5963100F"/>
    <w:rsid w:val="598C40A0"/>
    <w:rsid w:val="59DA647E"/>
    <w:rsid w:val="5A472BD1"/>
    <w:rsid w:val="5A556E1A"/>
    <w:rsid w:val="5A607E19"/>
    <w:rsid w:val="5C094F4D"/>
    <w:rsid w:val="5C876D53"/>
    <w:rsid w:val="5CFD1122"/>
    <w:rsid w:val="5E283A0C"/>
    <w:rsid w:val="5E2864D0"/>
    <w:rsid w:val="5E494511"/>
    <w:rsid w:val="5E531A2E"/>
    <w:rsid w:val="5EB44FC0"/>
    <w:rsid w:val="5FBA395F"/>
    <w:rsid w:val="60EC2CBA"/>
    <w:rsid w:val="60EE2705"/>
    <w:rsid w:val="61BD018E"/>
    <w:rsid w:val="61CC2D28"/>
    <w:rsid w:val="63476641"/>
    <w:rsid w:val="635902CD"/>
    <w:rsid w:val="635E6E54"/>
    <w:rsid w:val="640F0A9C"/>
    <w:rsid w:val="64706BBE"/>
    <w:rsid w:val="64F2095B"/>
    <w:rsid w:val="655E2D01"/>
    <w:rsid w:val="663429C9"/>
    <w:rsid w:val="66837EAF"/>
    <w:rsid w:val="67A858DB"/>
    <w:rsid w:val="67C776ED"/>
    <w:rsid w:val="67FE4166"/>
    <w:rsid w:val="68C401C3"/>
    <w:rsid w:val="69A833BD"/>
    <w:rsid w:val="6A9360AB"/>
    <w:rsid w:val="6AB215EC"/>
    <w:rsid w:val="6C742572"/>
    <w:rsid w:val="6C952210"/>
    <w:rsid w:val="6CAE59F5"/>
    <w:rsid w:val="6CD425A8"/>
    <w:rsid w:val="6D023321"/>
    <w:rsid w:val="6D452195"/>
    <w:rsid w:val="6D566F0F"/>
    <w:rsid w:val="6D836F72"/>
    <w:rsid w:val="6D944C6F"/>
    <w:rsid w:val="6DDE3DAF"/>
    <w:rsid w:val="6E3241BE"/>
    <w:rsid w:val="6E92081A"/>
    <w:rsid w:val="6EB97A9D"/>
    <w:rsid w:val="6EF10A90"/>
    <w:rsid w:val="6EF77781"/>
    <w:rsid w:val="6F7F3578"/>
    <w:rsid w:val="6F932AF0"/>
    <w:rsid w:val="6FA020C5"/>
    <w:rsid w:val="6FFF1868"/>
    <w:rsid w:val="715F4C2D"/>
    <w:rsid w:val="71605362"/>
    <w:rsid w:val="71733BEC"/>
    <w:rsid w:val="71C020E8"/>
    <w:rsid w:val="722F78FB"/>
    <w:rsid w:val="723D67C5"/>
    <w:rsid w:val="72BF60CA"/>
    <w:rsid w:val="72F41282"/>
    <w:rsid w:val="730336CA"/>
    <w:rsid w:val="733D0D32"/>
    <w:rsid w:val="73984EC1"/>
    <w:rsid w:val="73D411F1"/>
    <w:rsid w:val="73F0682F"/>
    <w:rsid w:val="744E0E29"/>
    <w:rsid w:val="753811DE"/>
    <w:rsid w:val="75A854A2"/>
    <w:rsid w:val="75BE67D4"/>
    <w:rsid w:val="75C2004C"/>
    <w:rsid w:val="75C759C1"/>
    <w:rsid w:val="762D64F3"/>
    <w:rsid w:val="766B63D6"/>
    <w:rsid w:val="767E7EFF"/>
    <w:rsid w:val="77592FF4"/>
    <w:rsid w:val="775B4604"/>
    <w:rsid w:val="77C067C3"/>
    <w:rsid w:val="77F32708"/>
    <w:rsid w:val="783F569F"/>
    <w:rsid w:val="78911E31"/>
    <w:rsid w:val="7922350F"/>
    <w:rsid w:val="792B5470"/>
    <w:rsid w:val="798B394D"/>
    <w:rsid w:val="7A2A2BDF"/>
    <w:rsid w:val="7A9367CB"/>
    <w:rsid w:val="7AC62F94"/>
    <w:rsid w:val="7AF22571"/>
    <w:rsid w:val="7B69224B"/>
    <w:rsid w:val="7BE80F25"/>
    <w:rsid w:val="7C1127AC"/>
    <w:rsid w:val="7C1C35A7"/>
    <w:rsid w:val="7C45431D"/>
    <w:rsid w:val="7D3219D5"/>
    <w:rsid w:val="7DDD0501"/>
    <w:rsid w:val="7DE51372"/>
    <w:rsid w:val="7DFF100D"/>
    <w:rsid w:val="7E5E590F"/>
    <w:rsid w:val="7E935AFB"/>
    <w:rsid w:val="7EF30223"/>
    <w:rsid w:val="7F695915"/>
    <w:rsid w:val="7FC5602F"/>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1">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2"/>
    <w:semiHidden/>
    <w:unhideWhenUsed/>
    <w:qFormat/>
    <w:uiPriority w:val="99"/>
    <w:rPr>
      <w:rFonts w:ascii="宋体" w:eastAsia="宋体"/>
      <w:sz w:val="18"/>
      <w:szCs w:val="18"/>
    </w:rPr>
  </w:style>
  <w:style w:type="paragraph" w:styleId="11">
    <w:name w:val="annotation text"/>
    <w:basedOn w:val="1"/>
    <w:semiHidden/>
    <w:unhideWhenUsed/>
    <w:qFormat/>
    <w:uiPriority w:val="0"/>
    <w:pPr>
      <w:jc w:val="left"/>
    </w:pPr>
  </w:style>
  <w:style w:type="paragraph" w:styleId="12">
    <w:name w:val="Body Text"/>
    <w:basedOn w:val="1"/>
    <w:link w:val="26"/>
    <w:qFormat/>
    <w:uiPriority w:val="0"/>
    <w:pPr>
      <w:spacing w:after="120"/>
      <w:jc w:val="both"/>
    </w:pPr>
    <w:rPr>
      <w:rFonts w:eastAsia="MS Mincho"/>
      <w:lang w:val="zh-CN"/>
    </w:r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
    <w:link w:val="29"/>
    <w:unhideWhenUsed/>
    <w:qFormat/>
    <w:uiPriority w:val="99"/>
    <w:pPr>
      <w:tabs>
        <w:tab w:val="center" w:pos="4153"/>
        <w:tab w:val="right" w:pos="8306"/>
      </w:tabs>
      <w:snapToGrid w:val="0"/>
    </w:pPr>
    <w:rPr>
      <w:sz w:val="18"/>
      <w:szCs w:val="18"/>
      <w:lang w:val="zh-CN"/>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List 4"/>
    <w:basedOn w:val="6"/>
    <w:qFormat/>
    <w:uiPriority w:val="0"/>
    <w:pPr>
      <w:ind w:left="1418"/>
    </w:pPr>
  </w:style>
  <w:style w:type="paragraph" w:styleId="18">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qFormat/>
    <w:uiPriority w:val="99"/>
    <w:rPr>
      <w:color w:val="0000FF"/>
      <w:u w:val="single"/>
    </w:rPr>
  </w:style>
  <w:style w:type="character" w:customStyle="1" w:styleId="24">
    <w:name w:val="Heading 1 Char"/>
    <w:link w:val="2"/>
    <w:qFormat/>
    <w:uiPriority w:val="0"/>
    <w:rPr>
      <w:rFonts w:ascii="Helvetica" w:hAnsi="Helvetica" w:eastAsia="MS Mincho" w:cs="Times New Roman"/>
      <w:b/>
      <w:bCs/>
      <w:kern w:val="32"/>
      <w:sz w:val="28"/>
      <w:szCs w:val="32"/>
      <w:lang w:val="zh-CN" w:eastAsia="en-US"/>
    </w:rPr>
  </w:style>
  <w:style w:type="character" w:customStyle="1" w:styleId="25">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6">
    <w:name w:val="Body Text Char"/>
    <w:link w:val="12"/>
    <w:qFormat/>
    <w:uiPriority w:val="0"/>
    <w:rPr>
      <w:rFonts w:ascii="Times New Roman" w:hAnsi="Times New Roman" w:eastAsia="MS Mincho" w:cs="Times New Roman"/>
      <w:kern w:val="0"/>
      <w:sz w:val="20"/>
      <w:szCs w:val="24"/>
      <w:lang w:val="zh-CN" w:eastAsia="en-US"/>
    </w:rPr>
  </w:style>
  <w:style w:type="character" w:customStyle="1" w:styleId="27">
    <w:name w:val="Header Char"/>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Footer Char"/>
    <w:link w:val="15"/>
    <w:qFormat/>
    <w:uiPriority w:val="99"/>
    <w:rPr>
      <w:rFonts w:ascii="Times New Roman" w:hAnsi="Times New Roman" w:eastAsia="Times New Roman" w:cs="Times New Roman"/>
      <w:kern w:val="0"/>
      <w:sz w:val="18"/>
      <w:szCs w:val="18"/>
      <w:lang w:eastAsia="en-US"/>
    </w:rPr>
  </w:style>
  <w:style w:type="character" w:customStyle="1" w:styleId="30">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Document Map Char"/>
    <w:link w:val="10"/>
    <w:semiHidden/>
    <w:qFormat/>
    <w:uiPriority w:val="99"/>
    <w:rPr>
      <w:rFonts w:ascii="宋体" w:hAnsi="Times New Roman"/>
      <w:sz w:val="18"/>
      <w:szCs w:val="18"/>
      <w:lang w:eastAsia="en-US"/>
    </w:rPr>
  </w:style>
  <w:style w:type="paragraph" w:customStyle="1" w:styleId="33">
    <w:name w:val="B1"/>
    <w:basedOn w:val="8"/>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keepNext/>
      <w:keepLines/>
      <w:jc w:val="center"/>
    </w:pPr>
    <w:rPr>
      <w:rFonts w:ascii="Arial" w:hAnsi="Arial" w:eastAsia="宋体"/>
      <w:sz w:val="18"/>
      <w:szCs w:val="20"/>
      <w:lang w:val="en-GB"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9"/>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List Paragraph Char"/>
    <w:link w:val="31"/>
    <w:qFormat/>
    <w:uiPriority w:val="34"/>
    <w:rPr>
      <w:kern w:val="2"/>
      <w:sz w:val="21"/>
      <w:szCs w:val="22"/>
    </w:rPr>
  </w:style>
  <w:style w:type="character" w:customStyle="1" w:styleId="48">
    <w:name w:val="ZGSM"/>
    <w:qFormat/>
    <w:uiPriority w:val="0"/>
  </w:style>
  <w:style w:type="character" w:customStyle="1" w:styleId="49">
    <w:name w:val="Date Char"/>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Heading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qFormat/>
    <w:uiPriority w:val="0"/>
    <w:pPr>
      <w:ind w:left="851" w:hanging="851"/>
    </w:pPr>
  </w:style>
  <w:style w:type="character" w:customStyle="1" w:styleId="56">
    <w:name w:val="normaltextrun"/>
    <w:basedOn w:val="21"/>
    <w:qFormat/>
    <w:uiPriority w:val="0"/>
  </w:style>
  <w:style w:type="character" w:customStyle="1" w:styleId="57">
    <w:name w:val="eop"/>
    <w:basedOn w:val="21"/>
    <w:qFormat/>
    <w:uiPriority w:val="0"/>
  </w:style>
  <w:style w:type="paragraph" w:customStyle="1" w:styleId="58">
    <w:name w:val="paragraph"/>
    <w:basedOn w:val="1"/>
    <w:qFormat/>
    <w:uiPriority w:val="0"/>
    <w:pPr>
      <w:spacing w:before="100" w:beforeAutospacing="1" w:after="100" w:afterAutospacing="1"/>
    </w:pPr>
    <w:rPr>
      <w:rFonts w:eastAsia="Times New Roman"/>
      <w:sz w:val="24"/>
      <w:szCs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0">
    <w:name w:val="B2"/>
    <w:basedOn w:val="7"/>
    <w:qFormat/>
    <w:uiPriority w:val="0"/>
  </w:style>
  <w:style w:type="paragraph" w:customStyle="1" w:styleId="61">
    <w:name w:val="样式3"/>
    <w:basedOn w:val="31"/>
    <w:qFormat/>
    <w:uiPriority w:val="0"/>
    <w:pPr>
      <w:numPr>
        <w:ilvl w:val="1"/>
        <w:numId w:val="3"/>
      </w:numPr>
      <w:tabs>
        <w:tab w:val="left" w:pos="-840"/>
        <w:tab w:val="clear" w:pos="-1260"/>
      </w:tabs>
      <w:spacing w:after="120"/>
      <w:ind w:firstLine="0"/>
    </w:pPr>
    <w:rPr>
      <w:rFonts w:ascii="Times New Roman" w:hAnsi="Times New Roman" w:eastAsia="宋体" w:cs="Times New Roman"/>
      <w:sz w:val="20"/>
      <w:szCs w:val="24"/>
      <w:lang w:val="en-GB"/>
    </w:rPr>
  </w:style>
  <w:style w:type="paragraph" w:customStyle="1" w:styleId="62">
    <w:name w:val="B3"/>
    <w:basedOn w:val="6"/>
    <w:qFormat/>
    <w:uiPriority w:val="0"/>
  </w:style>
  <w:style w:type="table" w:customStyle="1" w:styleId="63">
    <w:name w:val="Table Grid5"/>
    <w:basedOn w:val="1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4">
    <w:name w:val="B4"/>
    <w:basedOn w:val="1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2024-08-09T15:45:29Z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FFB5176DD3A4421EBB948A7705297399</vt:lpwstr>
  </property>
</Properties>
</file>